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442"/>
        <w:gridCol w:w="4656"/>
        <w:gridCol w:w="4961"/>
      </w:tblGrid>
      <w:tr w:rsidR="00A41CB1" w:rsidTr="00431F82">
        <w:tc>
          <w:tcPr>
            <w:tcW w:w="442" w:type="dxa"/>
          </w:tcPr>
          <w:p w:rsidR="00A41CB1" w:rsidRDefault="00A41CB1" w:rsidP="00A41CB1">
            <w:pPr>
              <w:jc w:val="center"/>
            </w:pPr>
            <w:r>
              <w:t>№</w:t>
            </w:r>
          </w:p>
        </w:tc>
        <w:tc>
          <w:tcPr>
            <w:tcW w:w="4656" w:type="dxa"/>
          </w:tcPr>
          <w:p w:rsidR="00A41CB1" w:rsidRDefault="00A41CB1" w:rsidP="00A41CB1">
            <w:pPr>
              <w:jc w:val="center"/>
            </w:pPr>
            <w:r>
              <w:t>ВОПРОСЫ</w:t>
            </w:r>
          </w:p>
        </w:tc>
        <w:tc>
          <w:tcPr>
            <w:tcW w:w="4961" w:type="dxa"/>
          </w:tcPr>
          <w:p w:rsidR="00A41CB1" w:rsidRDefault="00A41CB1" w:rsidP="00A41CB1">
            <w:pPr>
              <w:jc w:val="center"/>
            </w:pPr>
            <w:r>
              <w:t>ОТВЕТЫ</w:t>
            </w:r>
          </w:p>
        </w:tc>
      </w:tr>
      <w:tr w:rsidR="00A41CB1" w:rsidTr="00431F82">
        <w:tc>
          <w:tcPr>
            <w:tcW w:w="442" w:type="dxa"/>
          </w:tcPr>
          <w:p w:rsidR="00A41CB1" w:rsidRPr="00A427C7" w:rsidRDefault="004F09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6" w:type="dxa"/>
          </w:tcPr>
          <w:p w:rsidR="00A41CB1" w:rsidRDefault="00A41CB1" w:rsidP="00E427E8">
            <w:pPr>
              <w:jc w:val="both"/>
            </w:pPr>
            <w:r w:rsidRPr="00A427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Как, по мнению АПСБ, надлежащим образом выглядит (формулируется) информация о результатах анализа страховых услуг, осуществленных страховым брокером, предоставляемая получателям </w:t>
            </w:r>
            <w:proofErr w:type="spellStart"/>
            <w:proofErr w:type="gramStart"/>
            <w:r w:rsidRPr="00A427C7">
              <w:rPr>
                <w:rFonts w:ascii="Calibri" w:eastAsia="Times New Roman" w:hAnsi="Calibri" w:cs="Times New Roman"/>
                <w:color w:val="000000"/>
                <w:lang w:eastAsia="ru-RU"/>
              </w:rPr>
              <w:t>фин.услуг</w:t>
            </w:r>
            <w:proofErr w:type="spellEnd"/>
            <w:proofErr w:type="gramEnd"/>
            <w:r w:rsidRPr="00A427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соответствии с</w:t>
            </w:r>
            <w:r w:rsidR="00E427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7C7">
              <w:rPr>
                <w:rFonts w:ascii="Calibri" w:eastAsia="Times New Roman" w:hAnsi="Calibri" w:cs="Times New Roman"/>
                <w:color w:val="000000"/>
                <w:lang w:eastAsia="ru-RU"/>
              </w:rPr>
              <w:t>пп</w:t>
            </w:r>
            <w:proofErr w:type="spellEnd"/>
            <w:r w:rsidRPr="00A427C7">
              <w:rPr>
                <w:rFonts w:ascii="Calibri" w:eastAsia="Times New Roman" w:hAnsi="Calibri" w:cs="Times New Roman"/>
                <w:color w:val="000000"/>
                <w:lang w:eastAsia="ru-RU"/>
              </w:rPr>
              <w:t>. 10 п. 2.4.1 Стандарта?</w:t>
            </w:r>
          </w:p>
        </w:tc>
        <w:tc>
          <w:tcPr>
            <w:tcW w:w="4961" w:type="dxa"/>
          </w:tcPr>
          <w:p w:rsidR="00A41CB1" w:rsidRDefault="00A41CB1" w:rsidP="00E427E8">
            <w:pPr>
              <w:jc w:val="both"/>
            </w:pPr>
            <w:r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БС не устанавливает специальной формы предоставления получателю финансовой услуги информации о результатах анализа страховых услуг, осуществленных брокером. Т.е. </w:t>
            </w:r>
            <w:r w:rsidR="004F094B"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>фактически эта</w:t>
            </w:r>
            <w:r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 информация может быть представлена и в устном виде. В практике нашей компании, если для подбора наиболее приемлемых для страхователя условий мы обращались за котировками к нескольким страховым компаниям, обычно мы делаем сравнительную таблицу ответов, полученных от страховщиков, по основным параметрам «цена», «франшиза», «дополнительные </w:t>
            </w:r>
            <w:r w:rsidR="004F094B"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>условия» и</w:t>
            </w:r>
            <w:r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 т.п. и даем свои комментарии по тем или иным пунктам.</w:t>
            </w:r>
          </w:p>
        </w:tc>
      </w:tr>
      <w:tr w:rsidR="00A41CB1" w:rsidTr="00431F82">
        <w:tc>
          <w:tcPr>
            <w:tcW w:w="442" w:type="dxa"/>
          </w:tcPr>
          <w:p w:rsidR="00A41CB1" w:rsidRDefault="004F094B">
            <w:r>
              <w:t>2</w:t>
            </w:r>
          </w:p>
        </w:tc>
        <w:tc>
          <w:tcPr>
            <w:tcW w:w="4656" w:type="dxa"/>
          </w:tcPr>
          <w:p w:rsidR="00A41CB1" w:rsidRDefault="00A41CB1" w:rsidP="00E427E8">
            <w:pPr>
              <w:jc w:val="both"/>
            </w:pPr>
            <w:r w:rsidRPr="00A41CB1">
              <w:t>Как (каким образом) страховому брокеру обеспечить получение рекомендуемых АПСБ письменных подтверждений получателей фин. услуг, что им разъяснены все необходимые моменты,</w:t>
            </w:r>
            <w:r>
              <w:t xml:space="preserve"> </w:t>
            </w:r>
            <w:r w:rsidRPr="00A41CB1">
              <w:t xml:space="preserve">при оформлении "электронных" страховых полисов для дистанционно удаленных от брокера </w:t>
            </w:r>
            <w:proofErr w:type="spellStart"/>
            <w:r w:rsidRPr="00A41CB1">
              <w:t>физ.лиц</w:t>
            </w:r>
            <w:proofErr w:type="spellEnd"/>
            <w:r w:rsidRPr="00A41CB1">
              <w:t xml:space="preserve"> по их обращениям (заявкам) на </w:t>
            </w:r>
            <w:proofErr w:type="spellStart"/>
            <w:r w:rsidRPr="00A41CB1">
              <w:t>е-мэйл</w:t>
            </w:r>
            <w:proofErr w:type="spellEnd"/>
            <w:r w:rsidRPr="00A41CB1">
              <w:t xml:space="preserve"> или телефон брокера?</w:t>
            </w:r>
          </w:p>
        </w:tc>
        <w:tc>
          <w:tcPr>
            <w:tcW w:w="4961" w:type="dxa"/>
          </w:tcPr>
          <w:p w:rsidR="00A41CB1" w:rsidRPr="00A41CB1" w:rsidRDefault="00A41CB1" w:rsidP="004F094B">
            <w:pPr>
              <w:jc w:val="both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Таким письменным подтверждением можно считать и ответный мейл страхователя, если Вы зафиксируете такую возможность в своем внутреннем приказе. </w:t>
            </w:r>
          </w:p>
          <w:p w:rsidR="00A41CB1" w:rsidRDefault="00A41CB1" w:rsidP="004F094B">
            <w:pPr>
              <w:jc w:val="both"/>
            </w:pPr>
            <w:r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>Но!</w:t>
            </w:r>
            <w:r w:rsidR="004F094B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 </w:t>
            </w:r>
            <w:r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>Необходимо уточнение, что именно понимается под оформлением «электронных» страховых полисов, так как на данный момент брокерам за</w:t>
            </w:r>
            <w:r w:rsidRPr="00A41CB1">
              <w:rPr>
                <w:rFonts w:ascii="Calibri" w:eastAsia="Calibri" w:hAnsi="Calibri" w:cs="Times New Roman"/>
                <w:color w:val="C00000"/>
              </w:rPr>
              <w:t xml:space="preserve">прещено оказывать услуги, связанные с заключением договоров страхования в виде электронных документов. </w:t>
            </w:r>
          </w:p>
        </w:tc>
      </w:tr>
      <w:tr w:rsidR="00A41CB1" w:rsidTr="00431F82">
        <w:tc>
          <w:tcPr>
            <w:tcW w:w="442" w:type="dxa"/>
          </w:tcPr>
          <w:p w:rsidR="00A41CB1" w:rsidRDefault="004F094B">
            <w:r>
              <w:t>3</w:t>
            </w:r>
          </w:p>
        </w:tc>
        <w:tc>
          <w:tcPr>
            <w:tcW w:w="4656" w:type="dxa"/>
          </w:tcPr>
          <w:p w:rsidR="00A41CB1" w:rsidRDefault="00A41CB1" w:rsidP="00E427E8">
            <w:pPr>
              <w:jc w:val="both"/>
            </w:pPr>
            <w:r w:rsidRPr="00A41CB1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Гарантированно обеспечить направление брокеру каждым из них таких письменных подтверждений вряд ли возможно!</w:t>
            </w:r>
            <w:r>
              <w:t xml:space="preserve"> </w:t>
            </w:r>
            <w:r w:rsidRPr="00A41CB1">
              <w:rPr>
                <w:rFonts w:ascii="Calibri" w:eastAsia="Times New Roman" w:hAnsi="Calibri" w:cs="Times New Roman"/>
                <w:color w:val="000000"/>
                <w:lang w:eastAsia="ru-RU"/>
              </w:rPr>
              <w:t>Является ли здесь достаточным, по мнению АПСБ, следующее указание (формулировка),</w:t>
            </w:r>
            <w:r w:rsidRPr="00A41C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41C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 направлении страховым брокером на </w:t>
            </w:r>
            <w:proofErr w:type="spellStart"/>
            <w:r w:rsidRPr="00A41CB1">
              <w:rPr>
                <w:rFonts w:ascii="Calibri" w:eastAsia="Times New Roman" w:hAnsi="Calibri" w:cs="Times New Roman"/>
                <w:color w:val="000000"/>
                <w:lang w:eastAsia="ru-RU"/>
              </w:rPr>
              <w:t>е-мэйл</w:t>
            </w:r>
            <w:proofErr w:type="spellEnd"/>
            <w:r w:rsidRPr="00A41C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страхователя счета на безналичную уплату страховой премии в страховую компанию:</w:t>
            </w:r>
            <w:r>
              <w:t xml:space="preserve"> </w:t>
            </w:r>
            <w:r w:rsidRPr="00A41CB1">
              <w:rPr>
                <w:rFonts w:ascii="Calibri" w:eastAsia="Times New Roman" w:hAnsi="Calibri" w:cs="Times New Roman"/>
                <w:color w:val="000000"/>
                <w:lang w:eastAsia="ru-RU"/>
              </w:rPr>
              <w:t>"Оплата данного счета является, в том числе, подтверждением, что предложение страхового брокера сформировано с учетом потребностей получателя финансовой (страховой) услуги - Ф.И.О."?</w:t>
            </w:r>
          </w:p>
        </w:tc>
        <w:tc>
          <w:tcPr>
            <w:tcW w:w="4961" w:type="dxa"/>
          </w:tcPr>
          <w:p w:rsidR="00A41CB1" w:rsidRPr="00A41CB1" w:rsidRDefault="00A41CB1" w:rsidP="004F094B">
            <w:pPr>
              <w:ind w:firstLine="34"/>
              <w:jc w:val="both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Да. </w:t>
            </w:r>
            <w:r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Для самых «тяжелых» случаев мы в своей практике </w:t>
            </w:r>
            <w:r w:rsidR="004F094B"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>используем формулировку</w:t>
            </w:r>
            <w:r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 «Отсутствие замечаний с Вашей стороны в течение трех рабочих дней с даты получения настоящего уведомления будет считаться Вашим согласием».   </w:t>
            </w:r>
          </w:p>
          <w:p w:rsidR="00A41CB1" w:rsidRDefault="00A41CB1" w:rsidP="004F094B">
            <w:pPr>
              <w:ind w:firstLine="34"/>
            </w:pPr>
          </w:p>
        </w:tc>
      </w:tr>
      <w:tr w:rsidR="00A41CB1" w:rsidTr="00431F82">
        <w:tc>
          <w:tcPr>
            <w:tcW w:w="442" w:type="dxa"/>
          </w:tcPr>
          <w:p w:rsidR="00A41CB1" w:rsidRDefault="004F094B">
            <w:r>
              <w:t>4</w:t>
            </w:r>
          </w:p>
        </w:tc>
        <w:tc>
          <w:tcPr>
            <w:tcW w:w="4656" w:type="dxa"/>
          </w:tcPr>
          <w:p w:rsidR="00A41CB1" w:rsidRDefault="00A41CB1" w:rsidP="00E427E8">
            <w:pPr>
              <w:jc w:val="both"/>
            </w:pPr>
            <w:r w:rsidRPr="00A41CB1">
              <w:rPr>
                <w:rFonts w:ascii="Calibri" w:eastAsia="Times New Roman" w:hAnsi="Calibri" w:cs="Times New Roman"/>
                <w:lang w:eastAsia="ru-RU"/>
              </w:rPr>
              <w:t>Технические требования к корпоративному сайту страхового брокера</w:t>
            </w:r>
          </w:p>
        </w:tc>
        <w:tc>
          <w:tcPr>
            <w:tcW w:w="4961" w:type="dxa"/>
          </w:tcPr>
          <w:p w:rsidR="00A41CB1" w:rsidRDefault="00A41CB1" w:rsidP="004F094B">
            <w:pPr>
              <w:jc w:val="both"/>
            </w:pPr>
            <w:r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В соответствии с п. 2.3 БС защиты прав получателей финансовых услуг </w:t>
            </w:r>
          </w:p>
        </w:tc>
      </w:tr>
      <w:tr w:rsidR="00A41CB1" w:rsidTr="00431F82">
        <w:tc>
          <w:tcPr>
            <w:tcW w:w="442" w:type="dxa"/>
          </w:tcPr>
          <w:p w:rsidR="00A41CB1" w:rsidRDefault="004F094B">
            <w:r>
              <w:t>5</w:t>
            </w:r>
          </w:p>
        </w:tc>
        <w:tc>
          <w:tcPr>
            <w:tcW w:w="4656" w:type="dxa"/>
          </w:tcPr>
          <w:p w:rsidR="00A41CB1" w:rsidRDefault="00A41CB1" w:rsidP="00E427E8">
            <w:pPr>
              <w:jc w:val="both"/>
            </w:pPr>
            <w:r w:rsidRPr="00A41CB1">
              <w:rPr>
                <w:rFonts w:ascii="Calibri" w:eastAsia="Times New Roman" w:hAnsi="Calibri" w:cs="Times New Roman"/>
                <w:lang w:eastAsia="ru-RU"/>
              </w:rPr>
              <w:t xml:space="preserve">Рекомендуема форма (образец) отчета о рассмотрении обращений получателей финансовых услуг, который упоминается в п 4.5.1. Стандарта защиты прав и интересов получателей финансовых услуг. Кроме того интересует, </w:t>
            </w:r>
            <w:r w:rsidR="004F094B" w:rsidRPr="00A41CB1">
              <w:rPr>
                <w:rFonts w:ascii="Calibri" w:eastAsia="Times New Roman" w:hAnsi="Calibri" w:cs="Times New Roman"/>
                <w:lang w:eastAsia="ru-RU"/>
              </w:rPr>
              <w:t>необходимо ли</w:t>
            </w:r>
            <w:r w:rsidRPr="00A41CB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4F094B">
              <w:rPr>
                <w:rFonts w:ascii="Calibri" w:eastAsia="Times New Roman" w:hAnsi="Calibri" w:cs="Times New Roman"/>
                <w:lang w:eastAsia="ru-RU"/>
              </w:rPr>
              <w:t>п</w:t>
            </w:r>
            <w:r w:rsidRPr="00A41CB1">
              <w:rPr>
                <w:rFonts w:ascii="Calibri" w:eastAsia="Times New Roman" w:hAnsi="Calibri" w:cs="Times New Roman"/>
                <w:lang w:eastAsia="ru-RU"/>
              </w:rPr>
              <w:t>редоставление "нулевого" отчета.</w:t>
            </w:r>
          </w:p>
        </w:tc>
        <w:tc>
          <w:tcPr>
            <w:tcW w:w="4961" w:type="dxa"/>
          </w:tcPr>
          <w:p w:rsidR="00A41CB1" w:rsidRPr="00A41CB1" w:rsidRDefault="00A41CB1" w:rsidP="00E427E8">
            <w:pPr>
              <w:jc w:val="both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В соответствии с п. 4.5.1. отчет о рассмотрении обращений предоставляется по требованию СРО. Форма отчета – произвольная. </w:t>
            </w:r>
          </w:p>
          <w:p w:rsidR="00A41CB1" w:rsidRDefault="00A41CB1" w:rsidP="00E427E8">
            <w:pPr>
              <w:jc w:val="both"/>
            </w:pPr>
            <w:r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>Если такого требования не поступало, то никакой отчет предоставлять не надо.</w:t>
            </w:r>
          </w:p>
        </w:tc>
      </w:tr>
      <w:tr w:rsidR="00A41CB1" w:rsidTr="00431F82">
        <w:tc>
          <w:tcPr>
            <w:tcW w:w="442" w:type="dxa"/>
          </w:tcPr>
          <w:p w:rsidR="00A41CB1" w:rsidRDefault="004F094B">
            <w:r>
              <w:t>6</w:t>
            </w:r>
          </w:p>
        </w:tc>
        <w:tc>
          <w:tcPr>
            <w:tcW w:w="4656" w:type="dxa"/>
          </w:tcPr>
          <w:p w:rsidR="00A41CB1" w:rsidRPr="00431F82" w:rsidRDefault="00A41CB1" w:rsidP="00E427E8">
            <w:pPr>
              <w:ind w:firstLine="15"/>
              <w:jc w:val="both"/>
            </w:pPr>
            <w:r w:rsidRPr="00A41CB1">
              <w:rPr>
                <w:rFonts w:ascii="Calibri" w:eastAsia="Times New Roman" w:hAnsi="Calibri" w:cs="Times New Roman"/>
                <w:lang w:eastAsia="ru-RU"/>
              </w:rPr>
              <w:t xml:space="preserve">Квалификационные требования к лицам, ответственным за рассмотрение претензий (возраст, образование, стаж, опыт работы в страховании, должностная инструкция, (вне)штатный сотрудник или совместитель, возможность аутсорсинга и т.д.) </w:t>
            </w:r>
          </w:p>
        </w:tc>
        <w:tc>
          <w:tcPr>
            <w:tcW w:w="4961" w:type="dxa"/>
          </w:tcPr>
          <w:p w:rsidR="00A41CB1" w:rsidRDefault="00A41CB1" w:rsidP="00E427E8">
            <w:pPr>
              <w:jc w:val="both"/>
            </w:pPr>
            <w:r w:rsidRPr="00A41CB1">
              <w:rPr>
                <w:rFonts w:ascii="Calibri" w:eastAsia="Times New Roman" w:hAnsi="Calibri" w:cs="Times New Roman"/>
                <w:color w:val="C00000"/>
                <w:lang w:eastAsia="ru-RU"/>
              </w:rPr>
              <w:t>Никаких специальных требований БС не устанавливает. Полностью – на усмотрение брокера.</w:t>
            </w:r>
          </w:p>
        </w:tc>
      </w:tr>
      <w:tr w:rsidR="00A41CB1" w:rsidTr="00431F82">
        <w:tc>
          <w:tcPr>
            <w:tcW w:w="442" w:type="dxa"/>
          </w:tcPr>
          <w:p w:rsidR="00A41CB1" w:rsidRDefault="00A41CB1"/>
        </w:tc>
        <w:tc>
          <w:tcPr>
            <w:tcW w:w="4656" w:type="dxa"/>
          </w:tcPr>
          <w:p w:rsidR="00A41CB1" w:rsidRPr="00431F82" w:rsidRDefault="00A41CB1">
            <w:pPr>
              <w:rPr>
                <w:sz w:val="20"/>
                <w:szCs w:val="20"/>
              </w:rPr>
            </w:pPr>
            <w:r w:rsidRPr="00431F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 отношении публикации информации о страховщиках на сайте Брокера:  </w:t>
            </w:r>
          </w:p>
        </w:tc>
        <w:tc>
          <w:tcPr>
            <w:tcW w:w="4961" w:type="dxa"/>
          </w:tcPr>
          <w:p w:rsidR="00A41CB1" w:rsidRDefault="00A41CB1"/>
        </w:tc>
      </w:tr>
      <w:tr w:rsidR="00A41CB1" w:rsidTr="00431F82">
        <w:tc>
          <w:tcPr>
            <w:tcW w:w="442" w:type="dxa"/>
          </w:tcPr>
          <w:p w:rsidR="00A41CB1" w:rsidRDefault="00E427E8">
            <w:r>
              <w:t>7</w:t>
            </w:r>
          </w:p>
        </w:tc>
        <w:tc>
          <w:tcPr>
            <w:tcW w:w="4656" w:type="dxa"/>
          </w:tcPr>
          <w:p w:rsidR="00A41CB1" w:rsidRDefault="002702E5" w:rsidP="00431F82">
            <w:pPr>
              <w:pStyle w:val="a4"/>
              <w:numPr>
                <w:ilvl w:val="0"/>
                <w:numId w:val="5"/>
              </w:numPr>
              <w:jc w:val="both"/>
            </w:pPr>
            <w:r w:rsidRPr="00E427E8">
              <w:rPr>
                <w:rFonts w:ascii="Calibri" w:eastAsia="Times New Roman" w:hAnsi="Calibri" w:cs="Times New Roman"/>
                <w:lang w:eastAsia="ru-RU"/>
              </w:rPr>
              <w:t xml:space="preserve">нужно ли указывать иностранных страховщиков? </w:t>
            </w:r>
          </w:p>
        </w:tc>
        <w:tc>
          <w:tcPr>
            <w:tcW w:w="4961" w:type="dxa"/>
          </w:tcPr>
          <w:p w:rsidR="00A41CB1" w:rsidRDefault="002702E5" w:rsidP="00E427E8">
            <w:pPr>
              <w:jc w:val="both"/>
            </w:pP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>Если иностранные страховщики выдают полисы прямого страхования российским страхователям (что маловероятно) – то да, необходимо их указывать на сайте Брокера. На перестрахование данное требование БС не распространяется</w:t>
            </w:r>
          </w:p>
        </w:tc>
      </w:tr>
      <w:tr w:rsidR="00A41CB1" w:rsidTr="00431F82">
        <w:tc>
          <w:tcPr>
            <w:tcW w:w="442" w:type="dxa"/>
          </w:tcPr>
          <w:p w:rsidR="00A41CB1" w:rsidRDefault="00E427E8">
            <w:r>
              <w:t>8</w:t>
            </w:r>
          </w:p>
        </w:tc>
        <w:tc>
          <w:tcPr>
            <w:tcW w:w="4656" w:type="dxa"/>
          </w:tcPr>
          <w:p w:rsidR="00A41CB1" w:rsidRDefault="002702E5" w:rsidP="00431F82">
            <w:pPr>
              <w:pStyle w:val="a4"/>
              <w:numPr>
                <w:ilvl w:val="0"/>
                <w:numId w:val="5"/>
              </w:numPr>
              <w:tabs>
                <w:tab w:val="left" w:pos="299"/>
              </w:tabs>
              <w:ind w:left="15" w:firstLine="0"/>
              <w:jc w:val="both"/>
            </w:pPr>
            <w:r w:rsidRPr="00431F82">
              <w:rPr>
                <w:rFonts w:ascii="Calibri" w:eastAsia="Times New Roman" w:hAnsi="Calibri" w:cs="Times New Roman"/>
                <w:lang w:eastAsia="ru-RU"/>
              </w:rPr>
              <w:t xml:space="preserve">список видов страхования должен быть указан в соответствии с договором между Брокером и страховщиком или все виды страхования, на которые лицензирован Страховщик (логичнее, что первый вариант, но все же). </w:t>
            </w:r>
          </w:p>
        </w:tc>
        <w:tc>
          <w:tcPr>
            <w:tcW w:w="4961" w:type="dxa"/>
          </w:tcPr>
          <w:p w:rsidR="00A41CB1" w:rsidRDefault="002702E5" w:rsidP="00E427E8">
            <w:pPr>
              <w:jc w:val="both"/>
            </w:pP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>Мы в своей практике просто даем ссылку на сайт страховщика. Но если указывать виды страхования, то конечно же только те, по которым Брокер готов оказывать услуги.</w:t>
            </w:r>
          </w:p>
        </w:tc>
      </w:tr>
      <w:tr w:rsidR="00A41CB1" w:rsidTr="00431F82">
        <w:tc>
          <w:tcPr>
            <w:tcW w:w="442" w:type="dxa"/>
          </w:tcPr>
          <w:p w:rsidR="00A41CB1" w:rsidRDefault="00E427E8">
            <w:r>
              <w:t>9</w:t>
            </w:r>
          </w:p>
        </w:tc>
        <w:tc>
          <w:tcPr>
            <w:tcW w:w="4656" w:type="dxa"/>
          </w:tcPr>
          <w:p w:rsidR="00A41CB1" w:rsidRDefault="002702E5" w:rsidP="00431F82">
            <w:pPr>
              <w:pStyle w:val="a4"/>
              <w:numPr>
                <w:ilvl w:val="0"/>
                <w:numId w:val="5"/>
              </w:numPr>
              <w:tabs>
                <w:tab w:val="left" w:pos="299"/>
              </w:tabs>
              <w:ind w:left="0" w:firstLine="15"/>
              <w:jc w:val="both"/>
            </w:pPr>
            <w:r w:rsidRPr="00E427E8">
              <w:rPr>
                <w:rFonts w:ascii="Calibri" w:eastAsia="Times New Roman" w:hAnsi="Calibri" w:cs="Times New Roman"/>
                <w:lang w:eastAsia="ru-RU"/>
              </w:rPr>
              <w:t xml:space="preserve">какую информацию о способах защиты прав получателей финансовых услуг, включая информацию о наличии возможности и способах досудебного урегулирования спора? </w:t>
            </w:r>
          </w:p>
        </w:tc>
        <w:tc>
          <w:tcPr>
            <w:tcW w:w="4961" w:type="dxa"/>
          </w:tcPr>
          <w:p w:rsidR="00A41CB1" w:rsidRDefault="002702E5" w:rsidP="00E427E8">
            <w:pPr>
              <w:jc w:val="both"/>
            </w:pP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>В первую очередь – куда и как получатель может подать жалобу на действия Брокера: самому Брокеру, страховщику, в СРО АПСБ, в ЦБ.</w:t>
            </w:r>
          </w:p>
        </w:tc>
      </w:tr>
      <w:tr w:rsidR="00A41CB1" w:rsidTr="00431F82">
        <w:tc>
          <w:tcPr>
            <w:tcW w:w="442" w:type="dxa"/>
          </w:tcPr>
          <w:p w:rsidR="00A41CB1" w:rsidRDefault="00E427E8">
            <w:r>
              <w:t>10</w:t>
            </w:r>
          </w:p>
        </w:tc>
        <w:tc>
          <w:tcPr>
            <w:tcW w:w="4656" w:type="dxa"/>
          </w:tcPr>
          <w:p w:rsidR="00A41CB1" w:rsidRDefault="002702E5" w:rsidP="00E427E8">
            <w:pPr>
              <w:jc w:val="both"/>
            </w:pPr>
            <w:r w:rsidRPr="002702E5">
              <w:rPr>
                <w:rFonts w:ascii="Calibri" w:eastAsia="Times New Roman" w:hAnsi="Calibri" w:cs="Times New Roman"/>
                <w:lang w:eastAsia="ru-RU"/>
              </w:rPr>
              <w:t>Каким образом должно быть зафиксировано выполнение требования п. 2.4 – Требования о представлении страховым брокером информации получателям финансовых услуг при заключении договора страхования?</w:t>
            </w:r>
          </w:p>
        </w:tc>
        <w:tc>
          <w:tcPr>
            <w:tcW w:w="4961" w:type="dxa"/>
          </w:tcPr>
          <w:p w:rsidR="002702E5" w:rsidRPr="002702E5" w:rsidRDefault="002702E5" w:rsidP="00E427E8">
            <w:pPr>
              <w:ind w:left="31"/>
              <w:jc w:val="both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Специальных требований к форме такого подтверждения БС не устанавливает. Мы рекомендовали делать это письменно, в виде оговорки в тексте договора, или в виде отдельной расписки, или в виде мейла. </w:t>
            </w:r>
          </w:p>
          <w:p w:rsidR="00A41CB1" w:rsidRDefault="002702E5" w:rsidP="00E427E8">
            <w:pPr>
              <w:ind w:left="31"/>
              <w:jc w:val="both"/>
            </w:pP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>В «крайних» случаях, на наш взгляд, возможны и формулировки типа «Оплата данного счета является, в том числе, подтверждением, что предложение страхового брокера сформировано с учетом потребностей получателя финансовой (страховой) услуги - Ф.И.О."  или «Отсутствие замечаний с Вашей стороны в течение трех рабочих дней с даты получения настоящего уведомления будет считаться Вашим согласием».</w:t>
            </w:r>
          </w:p>
        </w:tc>
      </w:tr>
      <w:tr w:rsidR="002702E5" w:rsidTr="00431F82">
        <w:tc>
          <w:tcPr>
            <w:tcW w:w="442" w:type="dxa"/>
          </w:tcPr>
          <w:p w:rsidR="002702E5" w:rsidRDefault="00E427E8">
            <w:r>
              <w:t>11</w:t>
            </w:r>
          </w:p>
        </w:tc>
        <w:tc>
          <w:tcPr>
            <w:tcW w:w="4656" w:type="dxa"/>
          </w:tcPr>
          <w:p w:rsidR="002702E5" w:rsidRDefault="002702E5" w:rsidP="00E427E8">
            <w:pPr>
              <w:ind w:left="15"/>
              <w:jc w:val="both"/>
            </w:pPr>
            <w:r w:rsidRPr="002702E5">
              <w:rPr>
                <w:rFonts w:ascii="Calibri" w:eastAsia="Times New Roman" w:hAnsi="Calibri" w:cs="Times New Roman"/>
                <w:lang w:eastAsia="ru-RU"/>
              </w:rPr>
              <w:t>Как будет осуществлена проверка исполнения?</w:t>
            </w:r>
          </w:p>
        </w:tc>
        <w:tc>
          <w:tcPr>
            <w:tcW w:w="4961" w:type="dxa"/>
          </w:tcPr>
          <w:p w:rsidR="002702E5" w:rsidRDefault="002702E5" w:rsidP="00E427E8">
            <w:pPr>
              <w:jc w:val="both"/>
            </w:pP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>Проверку вправе провести страховщик, если Брокер заключал договор страхования в его интересах. Или СРО АПСБ или ЦБ – способом «контрольной закупки»</w:t>
            </w:r>
          </w:p>
        </w:tc>
      </w:tr>
      <w:tr w:rsidR="002702E5" w:rsidTr="00431F82">
        <w:tc>
          <w:tcPr>
            <w:tcW w:w="442" w:type="dxa"/>
          </w:tcPr>
          <w:p w:rsidR="002702E5" w:rsidRDefault="00E427E8">
            <w:r>
              <w:t>12</w:t>
            </w:r>
          </w:p>
        </w:tc>
        <w:tc>
          <w:tcPr>
            <w:tcW w:w="4656" w:type="dxa"/>
          </w:tcPr>
          <w:p w:rsidR="002702E5" w:rsidRDefault="002702E5" w:rsidP="00E427E8">
            <w:pPr>
              <w:ind w:firstLine="15"/>
              <w:jc w:val="both"/>
            </w:pP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При назначении работника или подразделения по рассмотрению обращений получателей финансовых услуг в </w:t>
            </w:r>
            <w:r w:rsidR="00E427E8" w:rsidRPr="002702E5">
              <w:rPr>
                <w:rFonts w:ascii="Calibri" w:eastAsia="Times New Roman" w:hAnsi="Calibri" w:cs="Times New Roman"/>
                <w:lang w:eastAsia="ru-RU"/>
              </w:rPr>
              <w:t>соответствии</w:t>
            </w:r>
            <w:r w:rsidR="00E427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E427E8" w:rsidRPr="002702E5">
              <w:rPr>
                <w:rFonts w:ascii="Calibri" w:eastAsia="Times New Roman" w:hAnsi="Calibri" w:cs="Times New Roman"/>
                <w:lang w:eastAsia="ru-RU"/>
              </w:rPr>
              <w:t>требованиями</w:t>
            </w: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 «Базового стандарта защиты прав и интересов физических и юридических лиц –</w:t>
            </w: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получателей финансовых услуг…», достаточно ли оформления приказа и должностной инструкции соответствующего лица? </w:t>
            </w:r>
          </w:p>
        </w:tc>
        <w:tc>
          <w:tcPr>
            <w:tcW w:w="4961" w:type="dxa"/>
          </w:tcPr>
          <w:p w:rsidR="002702E5" w:rsidRPr="002702E5" w:rsidRDefault="002702E5">
            <w:pPr>
              <w:rPr>
                <w:color w:val="FF0000"/>
              </w:rPr>
            </w:pPr>
            <w:r w:rsidRPr="00431F82">
              <w:rPr>
                <w:color w:val="C00000"/>
              </w:rPr>
              <w:t>Да</w:t>
            </w:r>
          </w:p>
        </w:tc>
      </w:tr>
      <w:tr w:rsidR="002702E5" w:rsidTr="00431F82">
        <w:tc>
          <w:tcPr>
            <w:tcW w:w="442" w:type="dxa"/>
          </w:tcPr>
          <w:p w:rsidR="002702E5" w:rsidRDefault="00E427E8">
            <w:r>
              <w:t>13</w:t>
            </w:r>
          </w:p>
        </w:tc>
        <w:tc>
          <w:tcPr>
            <w:tcW w:w="4656" w:type="dxa"/>
          </w:tcPr>
          <w:p w:rsidR="002702E5" w:rsidRDefault="002702E5" w:rsidP="00E427E8">
            <w:pPr>
              <w:ind w:left="15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Если налажена дистанционная работа с ФЛ на территории всей РФ и объективной необходимости оборудовать в офисе рабочее место для приема ФЛ нет, возникает ли такая необходимость в контексте БС? Ведь часть клиентов чисто технически не сможет приехать в </w:t>
            </w:r>
            <w:r w:rsidR="00E427E8" w:rsidRPr="002702E5">
              <w:rPr>
                <w:rFonts w:ascii="Calibri" w:eastAsia="Times New Roman" w:hAnsi="Calibri" w:cs="Times New Roman"/>
                <w:lang w:eastAsia="ru-RU"/>
              </w:rPr>
              <w:t>Москву.</w:t>
            </w: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Возможно ли со всеми работать посредством переписки? </w:t>
            </w:r>
          </w:p>
          <w:p w:rsidR="00431F82" w:rsidRDefault="00431F82" w:rsidP="00E427E8">
            <w:pPr>
              <w:ind w:left="15"/>
              <w:jc w:val="both"/>
            </w:pPr>
            <w:bookmarkStart w:id="0" w:name="_GoBack"/>
            <w:bookmarkEnd w:id="0"/>
          </w:p>
        </w:tc>
        <w:tc>
          <w:tcPr>
            <w:tcW w:w="4961" w:type="dxa"/>
          </w:tcPr>
          <w:p w:rsidR="002702E5" w:rsidRDefault="002702E5" w:rsidP="00E427E8">
            <w:pPr>
              <w:jc w:val="both"/>
            </w:pP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Если Ваш офис НЕ является местом продажи страховых полисов, т.е. получатели услуг физически его не посещают, то оформлять его в соответствии с требованием БС не нужно. Но существуют общие санитарно-гигиенические требования к офисам, которые надо выполнять если не </w:t>
            </w:r>
            <w:r w:rsidR="00E427E8"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>ради получателей</w:t>
            </w: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 финансовых услуг, то просто ради Ваших сотрудников</w:t>
            </w:r>
          </w:p>
        </w:tc>
      </w:tr>
      <w:tr w:rsidR="002702E5" w:rsidTr="00431F82">
        <w:tc>
          <w:tcPr>
            <w:tcW w:w="442" w:type="dxa"/>
          </w:tcPr>
          <w:p w:rsidR="002702E5" w:rsidRDefault="00E427E8">
            <w:r>
              <w:lastRenderedPageBreak/>
              <w:t>14</w:t>
            </w:r>
          </w:p>
        </w:tc>
        <w:tc>
          <w:tcPr>
            <w:tcW w:w="4656" w:type="dxa"/>
          </w:tcPr>
          <w:p w:rsidR="002702E5" w:rsidRPr="002702E5" w:rsidRDefault="002702E5" w:rsidP="00E427E8">
            <w:pPr>
              <w:ind w:left="15" w:hanging="15"/>
              <w:jc w:val="both"/>
              <w:rPr>
                <w:rFonts w:ascii="Calibri" w:eastAsia="Calibri" w:hAnsi="Calibri" w:cs="Times New Roman"/>
                <w:vertAlign w:val="subscript"/>
              </w:rPr>
            </w:pP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В Базовых стандартах постоянно упоминается договор об оказании финансовых услуг – </w:t>
            </w:r>
            <w:r w:rsidR="00E427E8" w:rsidRPr="002702E5">
              <w:rPr>
                <w:rFonts w:ascii="Calibri" w:eastAsia="Times New Roman" w:hAnsi="Calibri" w:cs="Times New Roman"/>
                <w:lang w:eastAsia="ru-RU"/>
              </w:rPr>
              <w:t>при этом</w:t>
            </w: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 нигде в этих документах не говорится об обязательности его подписания с нашими клиентами. Вместе с тем, сами стандарты применяются к отношениям, возникающим из такого договора, о чем напрямую говорится в разделе «Заключительные положения». При этом мы, как и большинство брокеров на российском рынке, такие договоры с клиентами не заключаем (это текущая практика рынка), а работаем на основе писем-назначений. Отсюда возникает вопрос – в какой мере эти стандарты распространяются на нас?</w:t>
            </w:r>
          </w:p>
          <w:p w:rsidR="002702E5" w:rsidRDefault="002702E5" w:rsidP="00E427E8">
            <w:pPr>
              <w:ind w:firstLine="15"/>
              <w:jc w:val="both"/>
            </w:pP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У нас как у брокеров есть заключенные договоры об оказании брокерских услуг со страховщиками. По </w:t>
            </w:r>
            <w:r w:rsidR="00E427E8" w:rsidRPr="002702E5">
              <w:rPr>
                <w:rFonts w:ascii="Calibri" w:eastAsia="Times New Roman" w:hAnsi="Calibri" w:cs="Times New Roman"/>
                <w:lang w:eastAsia="ru-RU"/>
              </w:rPr>
              <w:t>идее</w:t>
            </w:r>
            <w:r w:rsidR="00E427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E427E8" w:rsidRPr="002702E5">
              <w:rPr>
                <w:rFonts w:ascii="Calibri" w:eastAsia="Times New Roman" w:hAnsi="Calibri" w:cs="Times New Roman"/>
                <w:lang w:eastAsia="ru-RU"/>
              </w:rPr>
              <w:t>это</w:t>
            </w: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 может трактоваться как договор об оказании фин. услуг, но в Базовых стандартах прямо говорится, что страховая организации не может быть </w:t>
            </w:r>
            <w:r w:rsidR="00E427E8" w:rsidRPr="002702E5">
              <w:rPr>
                <w:rFonts w:ascii="Calibri" w:eastAsia="Times New Roman" w:hAnsi="Calibri" w:cs="Times New Roman"/>
                <w:lang w:eastAsia="ru-RU"/>
              </w:rPr>
              <w:t>получателем</w:t>
            </w:r>
            <w:r w:rsidR="00E427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E427E8" w:rsidRPr="002702E5">
              <w:rPr>
                <w:rFonts w:ascii="Calibri" w:eastAsia="Times New Roman" w:hAnsi="Calibri" w:cs="Times New Roman"/>
                <w:lang w:eastAsia="ru-RU"/>
              </w:rPr>
              <w:t>фин.</w:t>
            </w: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 услуг. Как это соотносится между собой?</w:t>
            </w:r>
          </w:p>
        </w:tc>
        <w:tc>
          <w:tcPr>
            <w:tcW w:w="4961" w:type="dxa"/>
          </w:tcPr>
          <w:p w:rsidR="002702E5" w:rsidRDefault="002702E5" w:rsidP="00E427E8">
            <w:pPr>
              <w:ind w:left="31"/>
              <w:jc w:val="both"/>
            </w:pP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>В соответствии с п. 6 ст. 8 Закона «Об организации страхового дела в РФ» страховой брокер – это юридическое лицо или ИП, осуществляющее деятельность на основании договора об оказании услуг страхового брокера. Эта норма Закона императивна, а значит, если Вы оказываете клиенту услугу и получаете с него комиссию, договор с ним у Вас должен быть в любом случае. НО! Во-первых, никто не требует, чтобы у Вас был «рамочный» договор на длительный срок и на неопределённо большое количество возможных услуг клиенту. Может быть и договор на совершение только одного конкретного действия, например – на размещение одного риска. Во-вторых, юридически договором может быть признан не только документ, называющийся «договор», но и – как в Вашем случае – письмо-назначение. Главное, чтобы в этом документе четко отражалась воля Вашего клиента на получение от страхового брокера неких услуг, связанных со страхованием. Так что тут никаких противоречий ни требованию закона, ни сложившейся практике я не вижу. Но, к сожалению, как бы мы такой документ не назвали – договор, соглашение, пакт, поручение, письмо о назначении и т.д. – требования Базовых стандартов на него</w:t>
            </w:r>
            <w:r w:rsidR="00E427E8"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 распространяются,</w:t>
            </w: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 и Вы обязаны будете их исполнять.</w:t>
            </w:r>
          </w:p>
        </w:tc>
      </w:tr>
      <w:tr w:rsidR="002702E5" w:rsidTr="00431F82">
        <w:tc>
          <w:tcPr>
            <w:tcW w:w="442" w:type="dxa"/>
          </w:tcPr>
          <w:p w:rsidR="002702E5" w:rsidRDefault="00E427E8">
            <w:r>
              <w:t>15</w:t>
            </w:r>
          </w:p>
        </w:tc>
        <w:tc>
          <w:tcPr>
            <w:tcW w:w="4656" w:type="dxa"/>
          </w:tcPr>
          <w:p w:rsidR="002702E5" w:rsidRPr="002702E5" w:rsidRDefault="002702E5" w:rsidP="00E427E8">
            <w:pPr>
              <w:ind w:firstLine="15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Наши клиенты становятся для нас «получателями» в смысле Базовых стандартов ТОЛЬКО, если мы заключаем с ними договор? Или они «получатели» по определению, даже если договора с брокером не заключают? </w:t>
            </w:r>
          </w:p>
          <w:p w:rsidR="002702E5" w:rsidRDefault="002702E5" w:rsidP="00E427E8">
            <w:pPr>
              <w:jc w:val="both"/>
            </w:pPr>
            <w:r w:rsidRPr="002702E5">
              <w:rPr>
                <w:rFonts w:ascii="Calibri" w:eastAsia="Times New Roman" w:hAnsi="Calibri" w:cs="Times New Roman"/>
                <w:lang w:eastAsia="ru-RU"/>
              </w:rPr>
              <w:t>Вопрос вызван тем, что и в прилагаемом документе, рекомендованном СРО, и в п. 2.4. стандарта защиты прямо указано, что брокер обязан предоставлять «получателю» информацию (по п. 2.4) при заключении договора страхования.</w:t>
            </w:r>
          </w:p>
        </w:tc>
        <w:tc>
          <w:tcPr>
            <w:tcW w:w="4961" w:type="dxa"/>
          </w:tcPr>
          <w:p w:rsidR="002702E5" w:rsidRDefault="002702E5" w:rsidP="00431F82">
            <w:pPr>
              <w:ind w:firstLine="31"/>
              <w:jc w:val="both"/>
            </w:pP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>Предоставлять клиенту («получателю») всю необходимую информацию при заключении договора страхования Вы обязаны в любом случае. И в том случае, если у Вас есть договор с клиентом (в виде «договора» или в виде «письма-назначения»), и в том случае, если Вы в сделке действуете в интересах не страхователя, а страховщика. В последнем случае в части предоставления получателю информации на Вас будут распространяться требования не Стандартов АПСБ, а Стандартов ВСС.</w:t>
            </w: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A41CB1" w:rsidTr="00431F82">
        <w:tc>
          <w:tcPr>
            <w:tcW w:w="442" w:type="dxa"/>
          </w:tcPr>
          <w:p w:rsidR="00A41CB1" w:rsidRDefault="00E427E8">
            <w:r>
              <w:t>16</w:t>
            </w:r>
          </w:p>
        </w:tc>
        <w:tc>
          <w:tcPr>
            <w:tcW w:w="4656" w:type="dxa"/>
          </w:tcPr>
          <w:p w:rsidR="00A41CB1" w:rsidRDefault="002702E5" w:rsidP="00E427E8">
            <w:pPr>
              <w:ind w:left="15"/>
              <w:contextualSpacing/>
              <w:jc w:val="both"/>
            </w:pPr>
            <w:r w:rsidRPr="002702E5">
              <w:rPr>
                <w:rFonts w:ascii="Calibri" w:eastAsia="Times New Roman" w:hAnsi="Calibri" w:cs="Times New Roman"/>
                <w:lang w:eastAsia="ru-RU"/>
              </w:rPr>
              <w:t>Что понимается под «заявлением» получателя фин. услуги? По смыслу 2-го (большого) Базового стандарта это одна из разновидностей обращения (раздел 3) п. 1.2.1.)</w:t>
            </w:r>
          </w:p>
        </w:tc>
        <w:tc>
          <w:tcPr>
            <w:tcW w:w="4961" w:type="dxa"/>
          </w:tcPr>
          <w:p w:rsidR="00A41CB1" w:rsidRDefault="002702E5" w:rsidP="00E427E8">
            <w:pPr>
              <w:ind w:left="31" w:hanging="31"/>
              <w:jc w:val="both"/>
            </w:pP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>В соответствии с п. 2.2.3 заявление – это документ на предоставление финансовой услуги получателю ЕСЛИ оформление такого документа обязательно на основании Вашего договора на оказание услуги или по законодательству РФ.</w:t>
            </w:r>
          </w:p>
        </w:tc>
      </w:tr>
      <w:tr w:rsidR="00A41CB1" w:rsidTr="00431F82">
        <w:tc>
          <w:tcPr>
            <w:tcW w:w="442" w:type="dxa"/>
          </w:tcPr>
          <w:p w:rsidR="00A41CB1" w:rsidRDefault="00E427E8">
            <w:r>
              <w:t>17</w:t>
            </w:r>
          </w:p>
        </w:tc>
        <w:tc>
          <w:tcPr>
            <w:tcW w:w="4656" w:type="dxa"/>
          </w:tcPr>
          <w:p w:rsidR="00A41CB1" w:rsidRDefault="002702E5" w:rsidP="00431F82">
            <w:pPr>
              <w:ind w:left="15"/>
              <w:contextualSpacing/>
              <w:jc w:val="both"/>
            </w:pP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Почему фраза в рекомендованном тексте приказа «Предложение страхового брокера сформировано с учетом потребностей ____________________ (указать получателя финансовой услуги)» является подтверждением </w:t>
            </w:r>
            <w:r w:rsidR="00431F82" w:rsidRPr="002702E5">
              <w:rPr>
                <w:rFonts w:ascii="Calibri" w:eastAsia="Times New Roman" w:hAnsi="Calibri" w:cs="Times New Roman"/>
                <w:lang w:eastAsia="ru-RU"/>
              </w:rPr>
              <w:t>выполнения Брокером</w:t>
            </w: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 требований п.2.4. по предоставлению информации получателям фин. услуг?</w:t>
            </w:r>
          </w:p>
        </w:tc>
        <w:tc>
          <w:tcPr>
            <w:tcW w:w="4961" w:type="dxa"/>
          </w:tcPr>
          <w:p w:rsidR="00A41CB1" w:rsidRDefault="002702E5" w:rsidP="00431F82">
            <w:pPr>
              <w:ind w:left="31"/>
              <w:jc w:val="both"/>
            </w:pP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>Так определено п.8 ст. 8 Закона «Об организации страхового дела». Вы, безусловно, можете расширить эту формулировку настолько, насколько сочтете необходимым, например, перечислив, какая именно информация доведена до страхователя. Мы в своих рекомендациях старались максимально упростить все возможные формулировки, не выйдя при этом за требования Закона.</w:t>
            </w: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2702E5" w:rsidTr="00431F82">
        <w:tc>
          <w:tcPr>
            <w:tcW w:w="442" w:type="dxa"/>
          </w:tcPr>
          <w:p w:rsidR="002702E5" w:rsidRDefault="00431F82">
            <w:r>
              <w:lastRenderedPageBreak/>
              <w:t>18</w:t>
            </w:r>
          </w:p>
        </w:tc>
        <w:tc>
          <w:tcPr>
            <w:tcW w:w="4656" w:type="dxa"/>
          </w:tcPr>
          <w:p w:rsidR="002702E5" w:rsidRDefault="002702E5" w:rsidP="00431F82">
            <w:pPr>
              <w:ind w:left="15"/>
              <w:contextualSpacing/>
              <w:jc w:val="both"/>
            </w:pPr>
            <w:r w:rsidRPr="002702E5">
              <w:rPr>
                <w:rFonts w:ascii="Calibri" w:eastAsia="Times New Roman" w:hAnsi="Calibri" w:cs="Times New Roman"/>
                <w:lang w:eastAsia="ru-RU"/>
              </w:rPr>
              <w:t xml:space="preserve">Что конкретно понимается под обращением, и какие именно обращения от получателя фин. услуги должны регистрироваться в Журнале регистрации обращений? Так, в п 4.2.6 Базового стандарта обращение трактуется, как, условно говоря, «жалоба», с указанием ИНН получателя фин. услуги, его контактной информации, изложением существа требований в результате действия или бездействия страхового брокера, с его подписью и т.д. Очевидно, что такое обращение регистрируется в Журнале регистрации обращений и на него дается ответ в установленные сроки. Но в то же время, в п. 2.2.4 Базового стандарта указано, что запрос от получателя финансовой услуги о предоставлении страховым брокером заверенных копий документов из п. 2.2.3 Базового стандарта также должен быть зарегистрирован в Журнале регистрации обращений. Т.е. запрос документов приравнивается к понятию обращение из п. 4.2.6? </w:t>
            </w:r>
          </w:p>
        </w:tc>
        <w:tc>
          <w:tcPr>
            <w:tcW w:w="4961" w:type="dxa"/>
          </w:tcPr>
          <w:p w:rsidR="002702E5" w:rsidRPr="002702E5" w:rsidRDefault="002702E5" w:rsidP="00431F82">
            <w:pPr>
              <w:ind w:left="31"/>
              <w:jc w:val="both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Термин «Обращение» включен в наш Стандарт в соответствии с требованием Указания ЦБ РФ № 4467-У «О перечне обязательных базовых стандартов и требований к их содержанию». По смыслу п. 4.2.6. обращение – это действительно жалоба или претензия страхователя, а также, по п. 2.2.4 – это запрос или просьба страхователя дать ему копии ряда документов. В этих двух случаях (жалоба или запрос копий документов) Вы фиксируете обращение в журнале обращений. Запрос страхователя </w:t>
            </w:r>
            <w:proofErr w:type="spellStart"/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>прокотировать</w:t>
            </w:r>
            <w:proofErr w:type="spellEnd"/>
            <w:r w:rsidRPr="002702E5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 или разместить риск в журнале обращений фиксировать не надо.</w:t>
            </w:r>
          </w:p>
          <w:p w:rsidR="002702E5" w:rsidRDefault="002702E5"/>
        </w:tc>
      </w:tr>
      <w:tr w:rsidR="002702E5" w:rsidTr="00431F82">
        <w:tc>
          <w:tcPr>
            <w:tcW w:w="442" w:type="dxa"/>
          </w:tcPr>
          <w:p w:rsidR="002702E5" w:rsidRDefault="00431F82">
            <w:r>
              <w:t>19</w:t>
            </w:r>
          </w:p>
        </w:tc>
        <w:tc>
          <w:tcPr>
            <w:tcW w:w="4656" w:type="dxa"/>
          </w:tcPr>
          <w:p w:rsidR="002702E5" w:rsidRPr="002702E5" w:rsidRDefault="002702E5" w:rsidP="00431F82">
            <w:pPr>
              <w:ind w:left="15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02E5">
              <w:rPr>
                <w:rFonts w:ascii="Calibri" w:eastAsia="Times New Roman" w:hAnsi="Calibri" w:cs="Times New Roman"/>
                <w:lang w:eastAsia="ru-RU"/>
              </w:rPr>
              <w:t>В список док-в из п. 2.2.3 входят: договор об оказании фин. услуги, заявление на предоставление фин. услуги, договор страхования и др. (к слову, в настоящее время ни одного из перечисленных в Базовом стандарте док-в у нас со страхователями нет, кроме как договора страхования, который не совсем ясно на каком основании мы должны заверять?</w:t>
            </w:r>
          </w:p>
          <w:p w:rsidR="002702E5" w:rsidRDefault="002702E5"/>
        </w:tc>
        <w:tc>
          <w:tcPr>
            <w:tcW w:w="4961" w:type="dxa"/>
          </w:tcPr>
          <w:p w:rsidR="002702E5" w:rsidRDefault="004F094B" w:rsidP="00431F82">
            <w:pPr>
              <w:ind w:firstLine="31"/>
              <w:jc w:val="both"/>
            </w:pPr>
            <w:r w:rsidRPr="004F094B">
              <w:rPr>
                <w:rFonts w:ascii="Calibri" w:eastAsia="Times New Roman" w:hAnsi="Calibri" w:cs="Times New Roman"/>
                <w:color w:val="C00000"/>
                <w:lang w:eastAsia="ru-RU"/>
              </w:rPr>
              <w:t>Давайте еще раз вернемся к вопросу о том, кому именно Вы оказываете услугу и в чьих интересах действуете – в интересах страхователя или страховщика? Если у Вас есть письмо-назначение (=договор со страхователем-получателем финансовой услуги), то у Вас может быть заявление на предоставление финансовой услуги (или например, заполненное страхователем заявление на страхование) и у Вас должна быть копия договора страхования, которую Вы можете заверить как подтверждение того, что именно такая копия договора страхования имеется в Вашем распоряжении. А если Вы действуете в интересах страховщика, то тогда Вы не связаны с получателем финансовой услуги договорными отношениями и можете не фиксировать в журнале регистрации обращение страхователя.  Правда, в этом случае на Вас распространяются Стандарты ВСС, и Вы обязаны незамедлительно передать обращение страхователя своему страховщику.</w:t>
            </w:r>
          </w:p>
        </w:tc>
      </w:tr>
      <w:tr w:rsidR="002702E5" w:rsidTr="00431F82">
        <w:tc>
          <w:tcPr>
            <w:tcW w:w="442" w:type="dxa"/>
          </w:tcPr>
          <w:p w:rsidR="002702E5" w:rsidRDefault="00431F82">
            <w:r>
              <w:t>20</w:t>
            </w:r>
          </w:p>
        </w:tc>
        <w:tc>
          <w:tcPr>
            <w:tcW w:w="4656" w:type="dxa"/>
          </w:tcPr>
          <w:p w:rsidR="002702E5" w:rsidRDefault="004F094B" w:rsidP="00431F82">
            <w:pPr>
              <w:ind w:left="15"/>
              <w:jc w:val="both"/>
            </w:pPr>
            <w:r w:rsidRPr="004F094B">
              <w:rPr>
                <w:rFonts w:ascii="Calibri" w:eastAsia="Times New Roman" w:hAnsi="Calibri" w:cs="Times New Roman"/>
                <w:lang w:eastAsia="ru-RU"/>
              </w:rPr>
              <w:t>Т.е. предположим, при получении электронного сообщения от страхователя с запросом направить в их адрес один из вышеперечисленных док-в мы должны зарегистрировать этот запрос в Журнале регистрации обращений. А если страхователь просит направить док-ты не из этого списка? Мы такое обращение должны также регистрировать или нет?</w:t>
            </w:r>
          </w:p>
        </w:tc>
        <w:tc>
          <w:tcPr>
            <w:tcW w:w="4961" w:type="dxa"/>
          </w:tcPr>
          <w:p w:rsidR="004F094B" w:rsidRPr="004F094B" w:rsidRDefault="004F094B" w:rsidP="00431F82">
            <w:pPr>
              <w:jc w:val="both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4F094B">
              <w:rPr>
                <w:rFonts w:ascii="Calibri" w:eastAsia="Times New Roman" w:hAnsi="Calibri" w:cs="Times New Roman"/>
                <w:color w:val="C00000"/>
                <w:lang w:eastAsia="ru-RU"/>
              </w:rPr>
              <w:t>На Ваше усмотрение, если у Вас есть договор со страхователем.</w:t>
            </w:r>
          </w:p>
          <w:p w:rsidR="002702E5" w:rsidRDefault="002702E5"/>
        </w:tc>
      </w:tr>
    </w:tbl>
    <w:p w:rsidR="00654BC8" w:rsidRDefault="00654BC8"/>
    <w:sectPr w:rsidR="0065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31B6"/>
    <w:multiLevelType w:val="hybridMultilevel"/>
    <w:tmpl w:val="53045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1CBA"/>
    <w:multiLevelType w:val="hybridMultilevel"/>
    <w:tmpl w:val="7E9C9A04"/>
    <w:lvl w:ilvl="0" w:tplc="5A54D2E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59776334"/>
    <w:multiLevelType w:val="hybridMultilevel"/>
    <w:tmpl w:val="53045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47F3"/>
    <w:multiLevelType w:val="hybridMultilevel"/>
    <w:tmpl w:val="F628EE70"/>
    <w:lvl w:ilvl="0" w:tplc="4DB0D556">
      <w:start w:val="1"/>
      <w:numFmt w:val="decimal"/>
      <w:lvlText w:val="%1."/>
      <w:lvlJc w:val="left"/>
      <w:pPr>
        <w:ind w:left="375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70540DD7"/>
    <w:multiLevelType w:val="hybridMultilevel"/>
    <w:tmpl w:val="53045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B1"/>
    <w:rsid w:val="00023318"/>
    <w:rsid w:val="000624D6"/>
    <w:rsid w:val="002702E5"/>
    <w:rsid w:val="00381BEC"/>
    <w:rsid w:val="00431F82"/>
    <w:rsid w:val="004F094B"/>
    <w:rsid w:val="00654BC8"/>
    <w:rsid w:val="009A32EB"/>
    <w:rsid w:val="00A41CB1"/>
    <w:rsid w:val="00D27623"/>
    <w:rsid w:val="00E06488"/>
    <w:rsid w:val="00E4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47BC"/>
  <w15:chartTrackingRefBased/>
  <w15:docId w15:val="{73BAB3D5-48B7-428E-950E-F73BECFF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2019-10-18T10:39:00Z</dcterms:created>
  <dcterms:modified xsi:type="dcterms:W3CDTF">2019-10-18T11:38:00Z</dcterms:modified>
</cp:coreProperties>
</file>